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54" w:rsidRDefault="00C404EB" w:rsidP="00C40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муниципального образования «Город Архангельск»,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 затрагивающих вопросы осуществления предпринимательской и инвестиционной деятельности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,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6"/>
        <w:gridCol w:w="1595"/>
      </w:tblGrid>
      <w:tr w:rsidR="00BB26F8" w:rsidTr="00BB26F8">
        <w:tc>
          <w:tcPr>
            <w:tcW w:w="9571" w:type="dxa"/>
            <w:gridSpan w:val="2"/>
          </w:tcPr>
          <w:p w:rsidR="00863FD3" w:rsidRDefault="00BB26F8" w:rsidP="00867AF2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твержд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ающие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73D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 муниципальных нормативных правовых актов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3D56E5" w:rsidRPr="003D56E5" w:rsidRDefault="003D56E5" w:rsidP="00A14053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D56E5" w:rsidRPr="003D56E5" w:rsidRDefault="003D56E5" w:rsidP="00A14053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3D56E5">
              <w:rPr>
                <w:rFonts w:ascii="Times New Roman" w:hAnsi="Times New Roman" w:cs="Times New Roman"/>
                <w:sz w:val="28"/>
                <w:szCs w:val="28"/>
              </w:rPr>
      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:rsidR="00B573D2" w:rsidRPr="003D56E5" w:rsidRDefault="003D56E5" w:rsidP="00A14053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E5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экспертизы муниципальных нормативных правовых актов муниципального образования «Город Архангельск», затрагивающих вопросы осуществления предпринимательской и инвестиционной деятельности, утвержденный решением Архангельской городской Думы от 18.02.2015 № 215. 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863FD3" w:rsidRDefault="003714AF" w:rsidP="003D56E5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06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Предметная область </w:t>
            </w:r>
            <w:r w:rsidR="003D56E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BB26F8" w:rsidRPr="001E0B66" w:rsidRDefault="00867AF2" w:rsidP="00825281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униципальны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правовы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Архангельск», затрагивающи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69ED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осуществления предпринимательской и инвестиционной деятельности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правов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641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D5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BB26F8" w:rsidRDefault="003714AF" w:rsidP="001E0B66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F5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Цель проведения </w:t>
            </w:r>
            <w:r w:rsidR="001E0B66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экспертизы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BB26F8" w:rsidRPr="00B573D2" w:rsidRDefault="001E0B66" w:rsidP="001E0B66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5F1A">
              <w:rPr>
                <w:rFonts w:ascii="Times New Roman" w:hAnsi="Times New Roman" w:cs="Times New Roman"/>
                <w:sz w:val="28"/>
                <w:szCs w:val="28"/>
              </w:rPr>
              <w:t xml:space="preserve">ыявление положений,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Tr="00BB26F8">
        <w:tc>
          <w:tcPr>
            <w:tcW w:w="9571" w:type="dxa"/>
            <w:gridSpan w:val="2"/>
          </w:tcPr>
          <w:p w:rsidR="00F30499" w:rsidRPr="00F30499" w:rsidRDefault="001E0B66" w:rsidP="00863FD3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30499" w:rsidRP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30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Процедура проведения экспертизы </w:t>
            </w:r>
          </w:p>
        </w:tc>
      </w:tr>
      <w:tr w:rsidR="00F30499" w:rsidTr="00BB26F8">
        <w:tc>
          <w:tcPr>
            <w:tcW w:w="9571" w:type="dxa"/>
            <w:gridSpan w:val="2"/>
          </w:tcPr>
          <w:p w:rsidR="003714AF" w:rsidRDefault="003714AF" w:rsidP="00A14053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14AF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14AF" w:rsidRDefault="003714AF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полученных предложений и 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D95E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его утверждении;</w:t>
            </w:r>
          </w:p>
          <w:p w:rsidR="002C18BB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об экспертизе правов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CC4C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18BB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консультаций по правовому акту;</w:t>
            </w:r>
          </w:p>
          <w:p w:rsidR="002C18BB" w:rsidRDefault="002C18BB" w:rsidP="00A14053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об экспертизе правового акта.</w:t>
            </w:r>
          </w:p>
        </w:tc>
      </w:tr>
      <w:tr w:rsidR="002C18BB" w:rsidTr="00BB26F8">
        <w:tc>
          <w:tcPr>
            <w:tcW w:w="9571" w:type="dxa"/>
            <w:gridSpan w:val="2"/>
          </w:tcPr>
          <w:p w:rsidR="002C18BB" w:rsidRPr="002C18BB" w:rsidRDefault="001E0B66" w:rsidP="00825281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F5045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учета выводов, содержащихся </w:t>
            </w:r>
            <w:r w:rsidR="008A2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2C18BB" w:rsidRPr="002C1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заключениях об </w:t>
            </w:r>
            <w:r w:rsidR="00825281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экспертизе</w:t>
            </w:r>
          </w:p>
        </w:tc>
      </w:tr>
      <w:tr w:rsidR="002C18BB" w:rsidTr="00BB26F8">
        <w:tc>
          <w:tcPr>
            <w:tcW w:w="9571" w:type="dxa"/>
            <w:gridSpan w:val="2"/>
          </w:tcPr>
          <w:p w:rsidR="008A2120" w:rsidRDefault="008A2120" w:rsidP="001E0B66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в течение десяти рабочих дней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</w:t>
            </w:r>
            <w:r w:rsidR="001E0B66">
              <w:rPr>
                <w:rFonts w:ascii="Times New Roman" w:hAnsi="Times New Roman" w:cs="Times New Roman"/>
                <w:sz w:val="28"/>
                <w:szCs w:val="28"/>
              </w:rPr>
              <w:t>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      </w:r>
          </w:p>
          <w:p w:rsidR="00D3525D" w:rsidRDefault="00D3525D" w:rsidP="001E0B66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6F8" w:rsidTr="00BB26F8">
        <w:tc>
          <w:tcPr>
            <w:tcW w:w="9571" w:type="dxa"/>
            <w:gridSpan w:val="2"/>
          </w:tcPr>
          <w:p w:rsidR="00BB26F8" w:rsidRDefault="001E0B66" w:rsidP="001E0B66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Практический опыт </w:t>
            </w:r>
            <w:r w:rsidR="00113BC3" w:rsidRP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экспертизы действующих </w:t>
            </w:r>
            <w:r w:rsidR="00250988">
              <w:rPr>
                <w:rFonts w:ascii="Times New Roman" w:hAnsi="Times New Roman" w:cs="Times New Roman"/>
                <w:b/>
                <w:sz w:val="28"/>
                <w:szCs w:val="28"/>
              </w:rPr>
              <w:t>правовых актов</w:t>
            </w:r>
          </w:p>
        </w:tc>
      </w:tr>
      <w:tr w:rsidR="00113BC3" w:rsidTr="00113BC3">
        <w:trPr>
          <w:trHeight w:val="137"/>
        </w:trPr>
        <w:tc>
          <w:tcPr>
            <w:tcW w:w="8005" w:type="dxa"/>
          </w:tcPr>
          <w:p w:rsidR="00113BC3" w:rsidRP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BC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экспертизы за 2015 год</w:t>
            </w:r>
          </w:p>
        </w:tc>
        <w:tc>
          <w:tcPr>
            <w:tcW w:w="1566" w:type="dxa"/>
          </w:tcPr>
          <w:p w:rsidR="00113BC3" w:rsidRPr="002F65F8" w:rsidRDefault="002F65F8" w:rsidP="00113BC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5F8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113BC3" w:rsidTr="00113BC3">
        <w:trPr>
          <w:trHeight w:val="137"/>
        </w:trPr>
        <w:tc>
          <w:tcPr>
            <w:tcW w:w="8005" w:type="dxa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1566" w:type="dxa"/>
          </w:tcPr>
          <w:p w:rsidR="00113BC3" w:rsidRPr="00F56C43" w:rsidRDefault="00113BC3" w:rsidP="00113BC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3BC3" w:rsidTr="00113BC3">
        <w:trPr>
          <w:trHeight w:val="137"/>
        </w:trPr>
        <w:tc>
          <w:tcPr>
            <w:tcW w:w="8005" w:type="dxa"/>
          </w:tcPr>
          <w:p w:rsidR="00113BC3" w:rsidRDefault="00113BC3" w:rsidP="00113BC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экспертиз</w:t>
            </w:r>
          </w:p>
        </w:tc>
        <w:tc>
          <w:tcPr>
            <w:tcW w:w="1566" w:type="dxa"/>
          </w:tcPr>
          <w:p w:rsidR="00863FD3" w:rsidRPr="00F56C43" w:rsidRDefault="00113BC3" w:rsidP="001E0B6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C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BB26F8" w:rsidRDefault="001E0B66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13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5408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информации в сети Интернет</w:t>
            </w:r>
          </w:p>
        </w:tc>
      </w:tr>
      <w:tr w:rsidR="00BB26F8" w:rsidTr="00BB26F8">
        <w:tc>
          <w:tcPr>
            <w:tcW w:w="9571" w:type="dxa"/>
            <w:gridSpan w:val="2"/>
          </w:tcPr>
          <w:p w:rsidR="00577F34" w:rsidRPr="00577F34" w:rsidRDefault="00577F34" w:rsidP="00577F34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интернет-портале муниципального образования «Город Архангельск» в разделе «Оценка регулирующего воздействия»: http://www.arhcity.ru/?page=1585/0 размещаются </w:t>
            </w:r>
            <w:r w:rsidR="00825281">
              <w:rPr>
                <w:rFonts w:ascii="Times New Roman" w:hAnsi="Times New Roman" w:cs="Times New Roman"/>
                <w:sz w:val="28"/>
                <w:szCs w:val="28"/>
              </w:rPr>
              <w:t xml:space="preserve">план проведения экспертизы правовых актов, 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извещения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об экспертизе правового акта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, справки о результатах публичных консультаций, заключения об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экспертизе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актов.</w:t>
            </w:r>
            <w:proofErr w:type="gramEnd"/>
          </w:p>
          <w:p w:rsidR="00BB26F8" w:rsidRPr="00113BC3" w:rsidRDefault="00577F34" w:rsidP="002F65F8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методические рекомендации, связанные с </w:t>
            </w:r>
            <w:r w:rsidR="002F65F8">
              <w:rPr>
                <w:rFonts w:ascii="Times New Roman" w:hAnsi="Times New Roman" w:cs="Times New Roman"/>
                <w:sz w:val="28"/>
                <w:szCs w:val="28"/>
              </w:rPr>
              <w:t>экспертизой</w:t>
            </w:r>
            <w:r w:rsidRPr="00577F34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размещены в данном специализированном разделе.</w:t>
            </w:r>
          </w:p>
        </w:tc>
      </w:tr>
      <w:tr w:rsidR="00960853" w:rsidTr="00BB26F8">
        <w:tc>
          <w:tcPr>
            <w:tcW w:w="9571" w:type="dxa"/>
            <w:gridSpan w:val="2"/>
          </w:tcPr>
          <w:p w:rsidR="00960853" w:rsidRDefault="00AD3198" w:rsidP="00863FD3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60853">
              <w:rPr>
                <w:rFonts w:ascii="Times New Roman" w:hAnsi="Times New Roman" w:cs="Times New Roman"/>
                <w:b/>
                <w:sz w:val="28"/>
                <w:szCs w:val="28"/>
              </w:rPr>
              <w:t>. Наличие методических рекомендаций</w:t>
            </w:r>
          </w:p>
        </w:tc>
      </w:tr>
      <w:tr w:rsidR="00960853" w:rsidTr="00BB26F8">
        <w:tc>
          <w:tcPr>
            <w:tcW w:w="9571" w:type="dxa"/>
            <w:gridSpan w:val="2"/>
          </w:tcPr>
          <w:p w:rsidR="00960853" w:rsidRPr="00E069ED" w:rsidRDefault="00960853" w:rsidP="00AD319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Процедура </w:t>
            </w:r>
            <w:r w:rsidR="00AD31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экспертизы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проводится в соответствии с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етодическими рекомендациями по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организации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проведению оценки</w:t>
            </w:r>
            <w:r w:rsidRPr="00B334D7">
              <w:t xml:space="preserve"> 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муниципальных</w:t>
            </w:r>
            <w:r w:rsidRPr="00B33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нормативных правовых актов </w:t>
            </w:r>
            <w:r w:rsidR="00D95E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экспертизы муниципальных нормативных правовых актов, подготовленными Министерством экономического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726C78" w:rsidTr="00BB26F8">
        <w:tc>
          <w:tcPr>
            <w:tcW w:w="9571" w:type="dxa"/>
            <w:gridSpan w:val="2"/>
          </w:tcPr>
          <w:p w:rsidR="00726C78" w:rsidRPr="00726C78" w:rsidRDefault="00AD3198" w:rsidP="00863FD3">
            <w:pPr>
              <w:tabs>
                <w:tab w:val="left" w:pos="1134"/>
              </w:tabs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="00726C78" w:rsidRPr="00726C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специалистов Администрации муниципального образования «Город Архангельск»</w:t>
            </w:r>
          </w:p>
        </w:tc>
      </w:tr>
      <w:tr w:rsidR="00726C78" w:rsidTr="00BB26F8">
        <w:tc>
          <w:tcPr>
            <w:tcW w:w="9571" w:type="dxa"/>
            <w:gridSpan w:val="2"/>
          </w:tcPr>
          <w:p w:rsidR="00164A8B" w:rsidRDefault="00F765B2" w:rsidP="00AD319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Специалисты Администрации муниципального образования «Город Архангельск»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прошли </w:t>
            </w:r>
            <w:proofErr w:type="gramStart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обучение по теме</w:t>
            </w:r>
            <w:proofErr w:type="gramEnd"/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«Оценка регулирующего воздействия (экспертиза) для специалистов исполнительных органов государственной власти Архангельской области, специалистов органов местного самоуправления муниципальных образований Архангельской области»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проводимое консультантами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государственно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автономно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="00FB61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учреждени</w:t>
            </w:r>
            <w:r w:rsidR="00C540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164A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высшего профессионального образования Национальный исследовательский университет «Высшая школа экономики».</w:t>
            </w:r>
          </w:p>
          <w:p w:rsidR="00D3525D" w:rsidRDefault="00D3525D" w:rsidP="00AD3198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47A60" w:rsidRPr="00273DA1" w:rsidRDefault="00547A60" w:rsidP="005272CB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7A60" w:rsidRPr="00273DA1" w:rsidSect="006641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45112"/>
    <w:rsid w:val="000A4BC8"/>
    <w:rsid w:val="000F6592"/>
    <w:rsid w:val="00113BC3"/>
    <w:rsid w:val="00114B32"/>
    <w:rsid w:val="00135AB8"/>
    <w:rsid w:val="00164A8B"/>
    <w:rsid w:val="00195929"/>
    <w:rsid w:val="001A4479"/>
    <w:rsid w:val="001E0B66"/>
    <w:rsid w:val="00250988"/>
    <w:rsid w:val="00273DA1"/>
    <w:rsid w:val="002A446B"/>
    <w:rsid w:val="002C18BB"/>
    <w:rsid w:val="002E4F1E"/>
    <w:rsid w:val="002F65F8"/>
    <w:rsid w:val="003714AF"/>
    <w:rsid w:val="0037245A"/>
    <w:rsid w:val="00374352"/>
    <w:rsid w:val="003D56E5"/>
    <w:rsid w:val="00427594"/>
    <w:rsid w:val="004F27E6"/>
    <w:rsid w:val="005272CB"/>
    <w:rsid w:val="00547A60"/>
    <w:rsid w:val="00577F34"/>
    <w:rsid w:val="005F5045"/>
    <w:rsid w:val="00624D18"/>
    <w:rsid w:val="00661EBB"/>
    <w:rsid w:val="006641B4"/>
    <w:rsid w:val="00682AE6"/>
    <w:rsid w:val="006968D6"/>
    <w:rsid w:val="00726C78"/>
    <w:rsid w:val="00790B11"/>
    <w:rsid w:val="00824CD7"/>
    <w:rsid w:val="00825281"/>
    <w:rsid w:val="00863FD3"/>
    <w:rsid w:val="00867AF2"/>
    <w:rsid w:val="008A2120"/>
    <w:rsid w:val="00960853"/>
    <w:rsid w:val="00A14053"/>
    <w:rsid w:val="00AD3198"/>
    <w:rsid w:val="00AD3C71"/>
    <w:rsid w:val="00B334D7"/>
    <w:rsid w:val="00B573D2"/>
    <w:rsid w:val="00B73BDB"/>
    <w:rsid w:val="00BB26F8"/>
    <w:rsid w:val="00BD20F5"/>
    <w:rsid w:val="00C404EB"/>
    <w:rsid w:val="00C54083"/>
    <w:rsid w:val="00CC0D8B"/>
    <w:rsid w:val="00CC4CD0"/>
    <w:rsid w:val="00CE478D"/>
    <w:rsid w:val="00D1623F"/>
    <w:rsid w:val="00D17D25"/>
    <w:rsid w:val="00D3525D"/>
    <w:rsid w:val="00D66FB7"/>
    <w:rsid w:val="00D95EB9"/>
    <w:rsid w:val="00E069ED"/>
    <w:rsid w:val="00E11ECC"/>
    <w:rsid w:val="00E33B05"/>
    <w:rsid w:val="00EC2E3E"/>
    <w:rsid w:val="00EF0784"/>
    <w:rsid w:val="00EF5F1A"/>
    <w:rsid w:val="00F30499"/>
    <w:rsid w:val="00F56C43"/>
    <w:rsid w:val="00F765B2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Юрьевна Темежникова</dc:creator>
  <cp:lastModifiedBy>Мария Юрьевна Темежникова</cp:lastModifiedBy>
  <cp:revision>35</cp:revision>
  <cp:lastPrinted>2016-02-05T12:10:00Z</cp:lastPrinted>
  <dcterms:created xsi:type="dcterms:W3CDTF">2015-12-30T06:38:00Z</dcterms:created>
  <dcterms:modified xsi:type="dcterms:W3CDTF">2016-02-05T12:47:00Z</dcterms:modified>
</cp:coreProperties>
</file>